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D77" w:rsidRDefault="00E47D77" w:rsidP="00E47D77">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17 diecisiete de julio del año 2017 dos mil diecisiete. </w:t>
      </w:r>
    </w:p>
    <w:p w:rsidR="00E47D77" w:rsidRDefault="00E47D77" w:rsidP="00E47D77">
      <w:pPr>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0268/2doJAM/2017-JN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E47D77" w:rsidRDefault="00E47D77" w:rsidP="00E47D77">
      <w:pPr>
        <w:pStyle w:val="Textoindependiente"/>
        <w:rPr>
          <w:rFonts w:ascii="Calibri" w:hAnsi="Calibri" w:cs="Calibri"/>
          <w:color w:val="767171" w:themeColor="background2" w:themeShade="80"/>
          <w:sz w:val="26"/>
          <w:szCs w:val="26"/>
        </w:rPr>
      </w:pPr>
    </w:p>
    <w:p w:rsidR="00E47D77" w:rsidRDefault="00E47D77" w:rsidP="00E47D77">
      <w:pPr>
        <w:pStyle w:val="Textoindependiente"/>
        <w:rPr>
          <w:rFonts w:ascii="Calibri" w:hAnsi="Calibri" w:cs="Calibri"/>
          <w:color w:val="767171" w:themeColor="background2" w:themeShade="80"/>
          <w:sz w:val="26"/>
          <w:szCs w:val="26"/>
        </w:rPr>
      </w:pPr>
    </w:p>
    <w:p w:rsidR="00E47D77" w:rsidRDefault="00E47D77" w:rsidP="00E47D77">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E47D77" w:rsidRDefault="00E47D77" w:rsidP="00E47D77">
      <w:pPr>
        <w:pStyle w:val="Textoindependiente"/>
        <w:ind w:firstLine="708"/>
        <w:jc w:val="center"/>
        <w:rPr>
          <w:rFonts w:ascii="Calibri" w:hAnsi="Calibri" w:cs="Calibri"/>
          <w:b/>
          <w:bCs/>
          <w:color w:val="767171" w:themeColor="background2" w:themeShade="80"/>
          <w:sz w:val="26"/>
          <w:szCs w:val="26"/>
        </w:rPr>
      </w:pPr>
    </w:p>
    <w:p w:rsidR="00E47D77" w:rsidRDefault="00E47D77" w:rsidP="00E47D77">
      <w:pPr>
        <w:pStyle w:val="Textoindependiente"/>
        <w:rPr>
          <w:rFonts w:ascii="Calibri" w:hAnsi="Calibri" w:cs="Calibri"/>
          <w:b/>
          <w:bCs/>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w:t>
      </w:r>
    </w:p>
    <w:p w:rsidR="00E47D77" w:rsidRDefault="00E47D77" w:rsidP="00E47D77">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0268/2doJAM/2017-JN</w:t>
      </w:r>
    </w:p>
    <w:p w:rsidR="00E47D77" w:rsidRDefault="00E47D77" w:rsidP="00E47D77">
      <w:pPr>
        <w:pStyle w:val="Textoindependiente"/>
        <w:rPr>
          <w:rFonts w:ascii="Calibri" w:hAnsi="Calibri" w:cs="Calibri"/>
          <w:color w:val="767171" w:themeColor="background2" w:themeShade="80"/>
          <w:sz w:val="26"/>
          <w:szCs w:val="26"/>
        </w:rPr>
      </w:pPr>
    </w:p>
    <w:p w:rsidR="00E47D77" w:rsidRDefault="00E47D77" w:rsidP="00E47D77">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Guanajuato, toda vez que la demanda fue presentada dentro de los 30 treinta días hábiles siguientes a aquél en que el demandante se ostenta sabedor de la emisión del acta de infracción, lo que fue el día 13 trece de enero del año 2017 dos mil diecisiete, sin que de las constancias de la presente causa administrativa se desprenda lo contrario. . . . . . . . . . . . . . . . . . . . . . . . . . . . . . . . . . . . . . . . . . . . . . . . </w:t>
      </w:r>
    </w:p>
    <w:p w:rsidR="00E47D77" w:rsidRDefault="00E47D77" w:rsidP="00E47D77">
      <w:pPr>
        <w:jc w:val="both"/>
        <w:rPr>
          <w:rFonts w:ascii="Calibri" w:hAnsi="Calibri" w:cs="Calibri"/>
          <w:b/>
          <w:i/>
          <w:iCs/>
          <w:color w:val="767171" w:themeColor="background2" w:themeShade="80"/>
          <w:sz w:val="26"/>
          <w:szCs w:val="26"/>
          <w:lang w:val="es-MX"/>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358530 (tres-cinco-ocho-cinco-tres-cero), de fecha 13 trece de enero del año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 . . . . . . . . </w:t>
      </w:r>
    </w:p>
    <w:p w:rsidR="00E47D77" w:rsidRDefault="00E47D77" w:rsidP="00E47D77">
      <w:pPr>
        <w:jc w:val="both"/>
        <w:rPr>
          <w:rFonts w:ascii="Calibri" w:hAnsi="Calibri" w:cs="Calibri"/>
          <w:color w:val="767171" w:themeColor="background2" w:themeShade="80"/>
          <w:sz w:val="26"/>
          <w:szCs w:val="26"/>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E47D77" w:rsidRDefault="00E47D77" w:rsidP="00E47D77">
      <w:pPr>
        <w:jc w:val="both"/>
        <w:rPr>
          <w:rFonts w:ascii="Calibri" w:hAnsi="Calibri" w:cs="Calibri"/>
          <w:b/>
          <w:bCs/>
          <w:i/>
          <w:iCs/>
          <w:color w:val="767171" w:themeColor="background2" w:themeShade="80"/>
          <w:sz w:val="26"/>
          <w:szCs w:val="26"/>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E47D77" w:rsidRDefault="00E47D77" w:rsidP="00E47D77">
      <w:pPr>
        <w:rPr>
          <w:rFonts w:ascii="Calibri" w:hAnsi="Calibri" w:cs="Calibri"/>
          <w:b/>
          <w:color w:val="767171" w:themeColor="background2" w:themeShade="80"/>
          <w:sz w:val="26"/>
          <w:szCs w:val="26"/>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E47D77" w:rsidRDefault="00E47D77" w:rsidP="00E47D77">
      <w:pPr>
        <w:ind w:firstLine="708"/>
        <w:jc w:val="both"/>
        <w:rPr>
          <w:rFonts w:ascii="Calibri" w:hAnsi="Calibri" w:cs="Calibri"/>
          <w:color w:val="767171" w:themeColor="background2" w:themeShade="80"/>
          <w:sz w:val="26"/>
          <w:szCs w:val="26"/>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 Notario Público número 99 en legal ejercicio en el Partido Judicial de León, Guanajuato, (visible en autos a fojas 5 cinco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 . . . . . . . . . . . . . . . . . . . . . . . . . . . . . . . . . . . . . . . . . . . . </w:t>
      </w:r>
    </w:p>
    <w:p w:rsidR="00E47D77" w:rsidRDefault="00E47D77" w:rsidP="00E47D77">
      <w:pPr>
        <w:jc w:val="both"/>
        <w:rPr>
          <w:rFonts w:ascii="Calibri" w:hAnsi="Calibri" w:cs="Calibri"/>
          <w:b/>
          <w:bCs/>
          <w:i/>
          <w:iCs/>
          <w:color w:val="767171" w:themeColor="background2" w:themeShade="80"/>
          <w:sz w:val="26"/>
          <w:szCs w:val="26"/>
        </w:rPr>
      </w:pPr>
    </w:p>
    <w:p w:rsidR="00E47D77" w:rsidRDefault="00E47D77" w:rsidP="00E47D77">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E47D77" w:rsidRDefault="00E47D77" w:rsidP="00E47D77">
      <w:pPr>
        <w:jc w:val="both"/>
        <w:rPr>
          <w:rFonts w:ascii="Calibri" w:hAnsi="Calibri" w:cs="Calibri"/>
          <w:b/>
          <w:bCs/>
          <w:i/>
          <w:iCs/>
          <w:color w:val="767171" w:themeColor="background2" w:themeShade="80"/>
          <w:sz w:val="26"/>
          <w:szCs w:val="26"/>
        </w:rPr>
      </w:pPr>
    </w:p>
    <w:p w:rsidR="00E47D77" w:rsidRDefault="00E47D77" w:rsidP="00E47D77">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así como que emitió la boleta al operador de la unidad y no a la persona moral actora; configurándose el supuesto previsto en la fracción I del artículo 261 del Código antedicho. . . . . . . . . </w:t>
      </w:r>
    </w:p>
    <w:p w:rsidR="00E47D77" w:rsidRDefault="00E47D77" w:rsidP="00E47D77">
      <w:pPr>
        <w:pStyle w:val="Sangradetextonormal"/>
        <w:ind w:left="0" w:firstLine="708"/>
        <w:jc w:val="both"/>
        <w:rPr>
          <w:rFonts w:ascii="Calibri" w:hAnsi="Calibri" w:cs="Calibri"/>
          <w:bCs/>
          <w:iCs/>
          <w:color w:val="767171" w:themeColor="background2" w:themeShade="80"/>
          <w:sz w:val="26"/>
          <w:szCs w:val="26"/>
        </w:rPr>
      </w:pPr>
    </w:p>
    <w:p w:rsidR="00E47D77" w:rsidRDefault="00E47D77" w:rsidP="00E47D77">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286851751 (dos-ocho-seis-ocho-cinco-uno-siete-cinco-uno) del autobús marca Mercedes Benz, tipo ómnibus, modelo 2012 dos mil doce con placas número 747949-D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fojas 18 dieciocho)-;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w:t>
      </w:r>
    </w:p>
    <w:p w:rsidR="00E47D77" w:rsidRDefault="00E47D77" w:rsidP="00E47D77">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0268/2doJAM/2017-JN</w:t>
      </w:r>
    </w:p>
    <w:p w:rsidR="00E47D77" w:rsidRDefault="00E47D77" w:rsidP="00E47D77">
      <w:pPr>
        <w:pStyle w:val="Sangradetextonormal"/>
        <w:ind w:left="0" w:firstLine="708"/>
        <w:jc w:val="both"/>
        <w:rPr>
          <w:rFonts w:ascii="Calibri" w:hAnsi="Calibri" w:cs="Calibri"/>
          <w:bCs/>
          <w:iCs/>
          <w:color w:val="767171" w:themeColor="background2" w:themeShade="80"/>
          <w:sz w:val="26"/>
          <w:szCs w:val="26"/>
        </w:rPr>
      </w:pPr>
    </w:p>
    <w:p w:rsidR="00E47D77" w:rsidRDefault="00E47D77" w:rsidP="00E47D77">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proceso</w:t>
      </w:r>
      <w:proofErr w:type="gramEnd"/>
      <w:r>
        <w:rPr>
          <w:rFonts w:ascii="Calibri" w:hAnsi="Calibri" w:cs="Calibri"/>
          <w:bCs/>
          <w:iCs/>
          <w:color w:val="767171" w:themeColor="background2" w:themeShade="80"/>
          <w:sz w:val="26"/>
          <w:szCs w:val="26"/>
        </w:rPr>
        <w:t xml:space="preserve">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E47D77" w:rsidRDefault="00E47D77" w:rsidP="00E47D77">
      <w:pPr>
        <w:pStyle w:val="Sangradetextonormal"/>
        <w:ind w:left="0" w:firstLine="708"/>
        <w:jc w:val="both"/>
        <w:rPr>
          <w:rFonts w:ascii="Calibri" w:hAnsi="Calibri" w:cs="Calibri"/>
          <w:bCs/>
          <w:iCs/>
          <w:color w:val="767171" w:themeColor="background2" w:themeShade="80"/>
          <w:sz w:val="26"/>
          <w:szCs w:val="26"/>
        </w:rPr>
      </w:pPr>
    </w:p>
    <w:p w:rsidR="00E47D77" w:rsidRDefault="00E47D77" w:rsidP="00E47D77">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w:t>
      </w:r>
      <w:r>
        <w:rPr>
          <w:rFonts w:ascii="Calibri" w:hAnsi="Calibri" w:cs="Calibri"/>
          <w:b/>
          <w:bCs/>
          <w:iCs/>
          <w:color w:val="767171" w:themeColor="background2" w:themeShade="80"/>
          <w:sz w:val="26"/>
          <w:szCs w:val="26"/>
        </w:rPr>
        <w:t>invoca</w:t>
      </w:r>
      <w:r>
        <w:rPr>
          <w:rFonts w:ascii="Calibri" w:hAnsi="Calibri" w:cs="Calibri"/>
          <w:bCs/>
          <w:iCs/>
          <w:color w:val="767171" w:themeColor="background2" w:themeShade="80"/>
          <w:sz w:val="26"/>
          <w:szCs w:val="26"/>
        </w:rPr>
        <w:t xml:space="preserve">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hábil siguiente</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w:t>
      </w:r>
      <w:r>
        <w:rPr>
          <w:rFonts w:ascii="Calibri" w:hAnsi="Calibri" w:cs="Calibri"/>
          <w:bCs/>
          <w:iCs/>
          <w:color w:val="7F7F7F" w:themeColor="text1" w:themeTint="80"/>
          <w:sz w:val="26"/>
          <w:szCs w:val="26"/>
        </w:rPr>
        <w:lastRenderedPageBreak/>
        <w:t xml:space="preserve">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w:t>
      </w:r>
    </w:p>
    <w:p w:rsidR="00E47D77" w:rsidRDefault="00E47D77" w:rsidP="00E47D77">
      <w:pPr>
        <w:pStyle w:val="Sangradetextonormal"/>
        <w:jc w:val="both"/>
        <w:rPr>
          <w:rFonts w:ascii="Calibri" w:hAnsi="Calibri" w:cs="Calibri"/>
          <w:bCs/>
          <w:iCs/>
          <w:color w:val="767171" w:themeColor="background2" w:themeShade="80"/>
          <w:sz w:val="26"/>
          <w:szCs w:val="26"/>
        </w:rPr>
      </w:pPr>
    </w:p>
    <w:p w:rsidR="00E47D77" w:rsidRDefault="00E47D77" w:rsidP="00E47D77">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E47D77" w:rsidRDefault="00E47D77" w:rsidP="00E47D77">
      <w:pPr>
        <w:jc w:val="both"/>
        <w:rPr>
          <w:rFonts w:ascii="Calibri" w:hAnsi="Calibri" w:cs="Calibri"/>
          <w:b/>
          <w:bCs/>
          <w:i/>
          <w:iCs/>
          <w:color w:val="767171" w:themeColor="background2" w:themeShade="80"/>
          <w:sz w:val="26"/>
          <w:szCs w:val="26"/>
          <w:lang w:val="es-MX"/>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47D77" w:rsidRDefault="00E47D77" w:rsidP="00E47D77">
      <w:pPr>
        <w:jc w:val="both"/>
        <w:rPr>
          <w:rFonts w:ascii="Calibri" w:hAnsi="Calibri" w:cs="Calibri"/>
          <w:color w:val="767171" w:themeColor="background2" w:themeShade="80"/>
          <w:sz w:val="26"/>
          <w:szCs w:val="26"/>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13 trece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proofErr w:type="spellStart"/>
      <w:r>
        <w:rPr>
          <w:rFonts w:ascii="Calibri" w:hAnsi="Calibri" w:cs="Calibri"/>
          <w:i/>
          <w:iCs/>
          <w:color w:val="767171" w:themeColor="background2" w:themeShade="80"/>
          <w:sz w:val="26"/>
          <w:szCs w:val="26"/>
        </w:rPr>
        <w:t>Vibar</w:t>
      </w:r>
      <w:proofErr w:type="spellEnd"/>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358530 (tres-cinco-ocho-cinco-tres-cero), en la que señaló como concepto de la infracción: </w:t>
      </w:r>
      <w:r>
        <w:rPr>
          <w:rFonts w:ascii="Calibri" w:hAnsi="Calibri" w:cs="Calibri"/>
          <w:i/>
          <w:color w:val="767171" w:themeColor="background2" w:themeShade="80"/>
          <w:sz w:val="26"/>
          <w:szCs w:val="26"/>
        </w:rPr>
        <w:t xml:space="preserve">“Por incumplir con los horarios, rutas, itinerarios y frecuencias autorizados para la prestación del servicio. (Aforando la ruta A60 desde su punto de inicio, me percato que entre el despacho #20 que prestó el económico LE-866, con salida real a las 06:47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y el despacho #23 que prestó el económico LE-919 con salida real a las 06:56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se genera un intervalo de 9 minutos, sin la prestación del servicio, con la pérdida de los despachos físicos #21 y 22, generando molestia en usuarios)”;</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xml:space="preserve">“Nombre: Erik Reynoso Sierra.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Acta que dio origen a una sanción consistente en una multa por la cantidad de $949.52 (Novecientos cuarenta y nueve pesos 52/100 Moneda Nacional), misma que fue pagada, como se acredita con el original del recibo oficial </w:t>
      </w:r>
      <w:r>
        <w:rPr>
          <w:rFonts w:ascii="Calibri" w:hAnsi="Calibri" w:cs="Calibri"/>
          <w:b/>
          <w:color w:val="7F7F7F" w:themeColor="text1" w:themeTint="80"/>
          <w:sz w:val="26"/>
          <w:szCs w:val="26"/>
        </w:rPr>
        <w:t>AA 6635712</w:t>
      </w:r>
      <w:r>
        <w:rPr>
          <w:rFonts w:ascii="Calibri" w:hAnsi="Calibri" w:cs="Calibri"/>
          <w:color w:val="7F7F7F" w:themeColor="text1" w:themeTint="80"/>
          <w:sz w:val="26"/>
          <w:szCs w:val="26"/>
        </w:rPr>
        <w:t xml:space="preserve"> (seis-seis-tres-cinco-siete-uno-dos)</w:t>
      </w:r>
      <w:r>
        <w:rPr>
          <w:rFonts w:ascii="Calibri" w:hAnsi="Calibri" w:cs="Calibri"/>
          <w:color w:val="767171" w:themeColor="background2" w:themeShade="80"/>
          <w:sz w:val="26"/>
          <w:szCs w:val="26"/>
        </w:rPr>
        <w:t xml:space="preserve"> de fecha 7 siete de abril del año en curso (palpable a foja 46 cuarenta y seis) . . . . . . . . . . . . . . . . . . . . . . . . . </w:t>
      </w:r>
    </w:p>
    <w:p w:rsidR="00E47D77" w:rsidRDefault="00E47D77" w:rsidP="00E47D77">
      <w:pPr>
        <w:ind w:firstLine="708"/>
        <w:jc w:val="both"/>
        <w:rPr>
          <w:rFonts w:ascii="Calibri" w:hAnsi="Calibri" w:cs="Calibri"/>
          <w:color w:val="767171" w:themeColor="background2" w:themeShade="80"/>
          <w:sz w:val="26"/>
          <w:szCs w:val="26"/>
        </w:rPr>
      </w:pPr>
    </w:p>
    <w:p w:rsidR="00E47D77" w:rsidRDefault="00E47D77" w:rsidP="00E47D77">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xml:space="preserve">. . . . . . . . . . . . . . . . . . . . . . . . . . . . . . . </w:t>
      </w:r>
    </w:p>
    <w:p w:rsidR="00E47D77" w:rsidRDefault="00E47D77" w:rsidP="00E47D77">
      <w:pPr>
        <w:pStyle w:val="Textoindependiente"/>
        <w:tabs>
          <w:tab w:val="left" w:pos="3594"/>
        </w:tabs>
        <w:rPr>
          <w:rFonts w:ascii="Calibri" w:hAnsi="Calibri" w:cs="Calibri"/>
          <w:iCs/>
          <w:color w:val="767171" w:themeColor="background2" w:themeShade="80"/>
          <w:sz w:val="26"/>
          <w:szCs w:val="26"/>
        </w:rPr>
      </w:pPr>
    </w:p>
    <w:p w:rsidR="00E47D77" w:rsidRDefault="00E47D77" w:rsidP="00E47D77">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lastRenderedPageBreak/>
        <w:t xml:space="preserve">            Por su parte, el inspector enjuiciado argumentó que el Acta está debidamente fundada y motivada y que fue levantada en flagrancia. . . . . . . . . . . . </w:t>
      </w:r>
    </w:p>
    <w:p w:rsidR="00E47D77" w:rsidRDefault="00E47D77" w:rsidP="00E47D77">
      <w:pPr>
        <w:pStyle w:val="Textoindependiente"/>
        <w:tabs>
          <w:tab w:val="left" w:pos="3594"/>
        </w:tabs>
        <w:rPr>
          <w:rFonts w:ascii="Calibri" w:hAnsi="Calibri" w:cs="Calibri"/>
          <w:iCs/>
          <w:color w:val="767171" w:themeColor="background2" w:themeShade="80"/>
          <w:sz w:val="26"/>
          <w:szCs w:val="26"/>
        </w:rPr>
      </w:pPr>
    </w:p>
    <w:p w:rsidR="00E47D77" w:rsidRDefault="00E47D77" w:rsidP="00E47D77">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358530 (tres-cinco-ocho-cinco-tres-cero), de fecha 13 trece de enero del año 2017 dos mil diecisiete, además de establecer la procedencia o improcedencia </w:t>
      </w:r>
      <w:r>
        <w:rPr>
          <w:rFonts w:ascii="Calibri" w:hAnsi="Calibri" w:cs="Calibri"/>
          <w:color w:val="7F7F7F" w:themeColor="text1" w:themeTint="80"/>
          <w:sz w:val="26"/>
          <w:szCs w:val="26"/>
        </w:rPr>
        <w:t xml:space="preserve">de sus pretensiones. . . . . . </w:t>
      </w:r>
    </w:p>
    <w:p w:rsidR="00E47D77" w:rsidRDefault="00E47D77" w:rsidP="00E47D77">
      <w:pPr>
        <w:jc w:val="both"/>
        <w:rPr>
          <w:color w:val="767171" w:themeColor="background2" w:themeShade="80"/>
          <w:sz w:val="22"/>
        </w:rPr>
      </w:pPr>
    </w:p>
    <w:p w:rsidR="00E47D77" w:rsidRDefault="00E47D77" w:rsidP="00E47D77">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bCs/>
          <w:color w:val="767171" w:themeColor="background2" w:themeShade="80"/>
          <w:sz w:val="26"/>
          <w:szCs w:val="26"/>
        </w:rPr>
        <w:t xml:space="preserve"> </w:t>
      </w:r>
    </w:p>
    <w:p w:rsidR="00E47D77" w:rsidRDefault="00E47D77" w:rsidP="00E47D77">
      <w:pPr>
        <w:ind w:firstLine="708"/>
        <w:jc w:val="both"/>
        <w:rPr>
          <w:color w:val="767171" w:themeColor="background2" w:themeShade="80"/>
          <w:lang w:val="es-MX"/>
        </w:rPr>
      </w:pPr>
    </w:p>
    <w:p w:rsidR="00E47D77" w:rsidRDefault="00E47D77" w:rsidP="00E47D77">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47D77" w:rsidRDefault="00E47D77" w:rsidP="00E47D77">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LA </w:t>
      </w:r>
      <w:r>
        <w:rPr>
          <w:rFonts w:ascii="Calibri" w:hAnsi="Calibri" w:cs="Calibri"/>
          <w:b/>
          <w:i/>
          <w:color w:val="767171" w:themeColor="background2" w:themeShade="80"/>
          <w:sz w:val="26"/>
          <w:szCs w:val="26"/>
        </w:rPr>
        <w:t>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w:t>
      </w:r>
      <w:r>
        <w:rPr>
          <w:rFonts w:ascii="Calibri" w:hAnsi="Calibri" w:cs="Calibri"/>
          <w:i/>
          <w:color w:val="767171" w:themeColor="background2" w:themeShade="80"/>
          <w:sz w:val="26"/>
          <w:szCs w:val="26"/>
        </w:rPr>
        <w:t xml:space="preserve">……..al elaborar la infracción…. toda vez que la infracción recurrida </w:t>
      </w:r>
      <w:r>
        <w:rPr>
          <w:rFonts w:ascii="Calibri" w:hAnsi="Calibri" w:cs="Calibri"/>
          <w:b/>
          <w:i/>
          <w:color w:val="767171" w:themeColor="background2" w:themeShade="80"/>
          <w:sz w:val="26"/>
          <w:szCs w:val="26"/>
        </w:rPr>
        <w:t>ostenta ambigüedad y oscuridad…deja de expresar las circunstancias de hecho y las razones lógico-jurídicas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el inspector omitió describir circunstancias de tiempo, modo y lugar de como conoció de la flagrancia, como es que se perdieron los despachos del servicio, cuales son los horarios que le correspondía ejecutar al operador para poder determinar si los incumplió o no, cuales son los horarios, rutas e  itinerarios que corresponde  realizar a  cada  ruta, </w:t>
      </w:r>
    </w:p>
    <w:p w:rsidR="00E47D77" w:rsidRDefault="00E47D77" w:rsidP="00E47D77">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0268/2doJAM/2017-JN</w:t>
      </w:r>
    </w:p>
    <w:p w:rsidR="00E47D77" w:rsidRDefault="00E47D77" w:rsidP="00E47D77">
      <w:pPr>
        <w:ind w:firstLine="708"/>
        <w:jc w:val="both"/>
        <w:rPr>
          <w:rFonts w:ascii="Calibri" w:hAnsi="Calibri" w:cs="Calibri"/>
          <w:color w:val="767171" w:themeColor="background2" w:themeShade="80"/>
          <w:sz w:val="26"/>
          <w:szCs w:val="26"/>
        </w:rPr>
      </w:pPr>
    </w:p>
    <w:p w:rsidR="00E47D77" w:rsidRDefault="00E47D77" w:rsidP="00E47D77">
      <w:pPr>
        <w:jc w:val="both"/>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lastRenderedPageBreak/>
        <w:t>empresa</w:t>
      </w:r>
      <w:proofErr w:type="gramEnd"/>
      <w:r>
        <w:rPr>
          <w:rFonts w:ascii="Calibri" w:hAnsi="Calibri" w:cs="Calibri"/>
          <w:color w:val="767171" w:themeColor="background2" w:themeShade="80"/>
          <w:sz w:val="26"/>
          <w:szCs w:val="26"/>
        </w:rPr>
        <w:t xml:space="preserve"> y operador para determinar si se incumplió con lo señalado en el artículo 206 del Reglamento de Transporte citado como infringido. . . .  . . . . . . </w:t>
      </w:r>
      <w:r>
        <w:rPr>
          <w:rFonts w:ascii="Calibri" w:hAnsi="Calibri"/>
          <w:bCs/>
          <w:color w:val="767171" w:themeColor="background2" w:themeShade="80"/>
          <w:sz w:val="26"/>
          <w:szCs w:val="26"/>
        </w:rPr>
        <w:t xml:space="preserve">. . . </w:t>
      </w:r>
    </w:p>
    <w:p w:rsidR="00E47D77" w:rsidRDefault="00E47D77" w:rsidP="00E47D77">
      <w:pPr>
        <w:ind w:firstLine="708"/>
        <w:jc w:val="both"/>
        <w:rPr>
          <w:rFonts w:ascii="Calibri" w:hAnsi="Calibri" w:cs="Calibri"/>
          <w:iCs/>
          <w:color w:val="767171" w:themeColor="background2" w:themeShade="80"/>
          <w:sz w:val="26"/>
          <w:szCs w:val="26"/>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E47D77" w:rsidRDefault="00E47D77" w:rsidP="00E47D77">
      <w:pPr>
        <w:jc w:val="both"/>
        <w:rPr>
          <w:rFonts w:ascii="Calibri" w:hAnsi="Calibri" w:cs="Calibri"/>
          <w:bCs/>
          <w:color w:val="AEAAAA" w:themeColor="background2" w:themeShade="BF"/>
          <w:sz w:val="26"/>
          <w:szCs w:val="26"/>
        </w:rPr>
      </w:pPr>
    </w:p>
    <w:p w:rsidR="00E47D77" w:rsidRDefault="00E47D77" w:rsidP="00E47D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358530 (tres-cinco-ocho-cinco-tres-cero), de fecha 13 trece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w:t>
      </w:r>
    </w:p>
    <w:p w:rsidR="00E47D77" w:rsidRDefault="00E47D77" w:rsidP="00E47D77">
      <w:pPr>
        <w:jc w:val="both"/>
        <w:rPr>
          <w:rFonts w:ascii="Calibri" w:hAnsi="Calibri" w:cs="Calibri"/>
          <w:bCs/>
          <w:color w:val="767171" w:themeColor="background2" w:themeShade="80"/>
          <w:sz w:val="26"/>
          <w:szCs w:val="26"/>
        </w:rPr>
      </w:pPr>
    </w:p>
    <w:p w:rsidR="00E47D77" w:rsidRDefault="00E47D77" w:rsidP="00E47D77">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para poder así establecer que existió una inobservancia a la obligación contenida en el artículo y su fracción, distinguido como quebrantado</w:t>
      </w:r>
      <w:r>
        <w:rPr>
          <w:rFonts w:ascii="Calibri" w:hAnsi="Calibri"/>
          <w:color w:val="7F7F7F" w:themeColor="text1" w:themeTint="80"/>
          <w:sz w:val="26"/>
          <w:szCs w:val="26"/>
        </w:rPr>
        <w:t xml:space="preserve">, aunado, </w:t>
      </w:r>
      <w:r>
        <w:rPr>
          <w:rFonts w:ascii="Calibri" w:hAnsi="Calibri" w:cs="Calibri"/>
          <w:bCs/>
          <w:color w:val="767171" w:themeColor="background2" w:themeShade="80"/>
          <w:sz w:val="26"/>
          <w:szCs w:val="26"/>
        </w:rPr>
        <w:t xml:space="preserve">a que el lenguaje utilizado es poco claro, ya que no precisa a que se refieren términos como: </w:t>
      </w:r>
      <w:r>
        <w:rPr>
          <w:rFonts w:ascii="Calibri" w:hAnsi="Calibri" w:cs="Calibri"/>
          <w:bCs/>
          <w:i/>
          <w:color w:val="767171" w:themeColor="background2" w:themeShade="80"/>
          <w:sz w:val="26"/>
          <w:szCs w:val="26"/>
        </w:rPr>
        <w:t xml:space="preserve">“Aforando”, “el económico”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w:t>
      </w:r>
      <w:r>
        <w:rPr>
          <w:rFonts w:ascii="Calibri" w:hAnsi="Calibri" w:cs="Calibri"/>
          <w:color w:val="767171" w:themeColor="background2" w:themeShade="80"/>
          <w:sz w:val="26"/>
          <w:szCs w:val="26"/>
        </w:rPr>
        <w:t xml:space="preserve">. . . . . . . . . . . </w:t>
      </w:r>
    </w:p>
    <w:p w:rsidR="00E47D77" w:rsidRDefault="00E47D77" w:rsidP="00E47D77">
      <w:pPr>
        <w:ind w:firstLine="708"/>
        <w:jc w:val="both"/>
        <w:rPr>
          <w:rFonts w:ascii="Calibri" w:hAnsi="Calibri"/>
          <w:color w:val="7F7F7F" w:themeColor="text1" w:themeTint="80"/>
          <w:sz w:val="26"/>
          <w:szCs w:val="26"/>
        </w:rPr>
      </w:pPr>
    </w:p>
    <w:p w:rsidR="00E47D77" w:rsidRDefault="00E47D77" w:rsidP="00E47D77">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 </w:t>
      </w:r>
      <w:r>
        <w:rPr>
          <w:rFonts w:ascii="Calibri" w:hAnsi="Calibri" w:cs="Calibri"/>
          <w:color w:val="767171" w:themeColor="background2" w:themeShade="80"/>
          <w:sz w:val="26"/>
          <w:szCs w:val="26"/>
        </w:rPr>
        <w:t xml:space="preserve">. . . . . . . . . . . . . . . . . . . . . . . . . . . . . . . . . . . . . . . . . . . . . . . . . . . . . </w:t>
      </w:r>
    </w:p>
    <w:p w:rsidR="00E47D77" w:rsidRDefault="00E47D77" w:rsidP="00E47D77">
      <w:pPr>
        <w:ind w:firstLine="708"/>
        <w:jc w:val="both"/>
        <w:rPr>
          <w:rFonts w:ascii="Calibri" w:hAnsi="Calibri" w:cs="Calibri"/>
          <w:bCs/>
          <w:color w:val="767171" w:themeColor="background2" w:themeShade="80"/>
          <w:sz w:val="26"/>
          <w:szCs w:val="26"/>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lastRenderedPageBreak/>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no se encuentra debidamente motivada, por lo que se actualiza la causa de nulidad prevista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358530 (tres-cinco-ocho-cinco-tres-cero)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13</w:t>
      </w:r>
      <w:r>
        <w:rPr>
          <w:rFonts w:ascii="Calibri" w:hAnsi="Calibri" w:cs="Calibri"/>
          <w:color w:val="767171" w:themeColor="background2" w:themeShade="80"/>
          <w:sz w:val="26"/>
          <w:szCs w:val="26"/>
        </w:rPr>
        <w:t xml:space="preserve"> trece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w:t>
      </w:r>
      <w:r>
        <w:rPr>
          <w:rFonts w:ascii="Calibri" w:hAnsi="Calibri"/>
          <w:bCs/>
          <w:color w:val="767171" w:themeColor="background2" w:themeShade="80"/>
          <w:sz w:val="26"/>
          <w:szCs w:val="26"/>
        </w:rPr>
        <w:t xml:space="preserve">. </w:t>
      </w:r>
    </w:p>
    <w:p w:rsidR="00E47D77" w:rsidRDefault="00E47D77" w:rsidP="00E47D77">
      <w:pPr>
        <w:jc w:val="both"/>
        <w:rPr>
          <w:rFonts w:ascii="Calibri" w:hAnsi="Calibri" w:cs="Calibri"/>
          <w:color w:val="767171" w:themeColor="background2" w:themeShade="80"/>
          <w:sz w:val="26"/>
          <w:szCs w:val="26"/>
        </w:rPr>
      </w:pPr>
    </w:p>
    <w:p w:rsidR="00E47D77" w:rsidRDefault="00E47D77" w:rsidP="00E47D77">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47D77" w:rsidRDefault="00E47D77" w:rsidP="00E47D77">
      <w:pPr>
        <w:pStyle w:val="Textoindependiente"/>
        <w:rPr>
          <w:rFonts w:ascii="Calibri" w:hAnsi="Calibri" w:cs="Arial"/>
          <w:color w:val="767171" w:themeColor="background2" w:themeShade="80"/>
          <w:sz w:val="20"/>
          <w:szCs w:val="27"/>
          <w:lang w:val="es-ES"/>
        </w:rPr>
      </w:pPr>
    </w:p>
    <w:p w:rsidR="00E47D77" w:rsidRDefault="00E47D77" w:rsidP="00E47D77">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E47D77" w:rsidRDefault="00E47D77" w:rsidP="00E47D77">
      <w:pPr>
        <w:pStyle w:val="Textoindependiente"/>
        <w:rPr>
          <w:rFonts w:ascii="Calibri" w:hAnsi="Calibri"/>
          <w:b/>
          <w:bCs/>
          <w:i/>
          <w:iCs/>
          <w:color w:val="767171" w:themeColor="background2" w:themeShade="80"/>
          <w:sz w:val="26"/>
          <w:szCs w:val="27"/>
        </w:rPr>
      </w:pPr>
    </w:p>
    <w:p w:rsidR="00E47D77" w:rsidRDefault="00E47D77" w:rsidP="00E47D77">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E47D77" w:rsidRDefault="00E47D77" w:rsidP="00E47D77">
      <w:pPr>
        <w:pStyle w:val="Textoindependiente"/>
        <w:ind w:firstLine="708"/>
        <w:rPr>
          <w:rFonts w:ascii="Calibri" w:hAnsi="Calibri"/>
          <w:b/>
          <w:i/>
          <w:color w:val="767171" w:themeColor="background2" w:themeShade="80"/>
          <w:sz w:val="26"/>
        </w:rPr>
      </w:pPr>
    </w:p>
    <w:p w:rsidR="00E47D77" w:rsidRDefault="00E47D77" w:rsidP="00E47D77">
      <w:pPr>
        <w:pStyle w:val="Textoindependiente"/>
        <w:ind w:firstLine="708"/>
        <w:rPr>
          <w:rFonts w:ascii="Calibri" w:hAnsi="Calibri" w:cs="Calibri"/>
          <w:i/>
          <w:iCs/>
          <w:color w:val="767171" w:themeColor="background2" w:themeShade="80"/>
          <w:sz w:val="26"/>
          <w:szCs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condene</w:t>
      </w:r>
      <w:r>
        <w:rPr>
          <w:rFonts w:ascii="Calibri" w:hAnsi="Calibri" w:cs="Arial"/>
          <w:color w:val="767171" w:themeColor="background2" w:themeShade="80"/>
          <w:sz w:val="26"/>
          <w:szCs w:val="27"/>
        </w:rPr>
        <w:t xml:space="preserve"> 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6635712 (seis-seis-tres-cinco-siete-uno-dos) </w:t>
      </w:r>
      <w:r>
        <w:rPr>
          <w:rFonts w:ascii="Calibri" w:hAnsi="Calibri" w:cs="Arial"/>
          <w:color w:val="7F7F7F" w:themeColor="text1" w:themeTint="80"/>
          <w:sz w:val="26"/>
          <w:szCs w:val="27"/>
        </w:rPr>
        <w:t xml:space="preserve">de fecha 7 siete de abril del año en curso. . . . . . . . . . . . . . . . . . . . . . . . . . . . . . . . . . . . . . . . . . </w:t>
      </w:r>
      <w:r>
        <w:rPr>
          <w:rFonts w:ascii="Calibri" w:hAnsi="Calibri"/>
          <w:bCs/>
          <w:color w:val="767171" w:themeColor="background2" w:themeShade="80"/>
          <w:sz w:val="26"/>
          <w:szCs w:val="26"/>
        </w:rPr>
        <w:t xml:space="preserve">. . </w:t>
      </w:r>
    </w:p>
    <w:p w:rsidR="00E47D77" w:rsidRDefault="00E47D77" w:rsidP="00E47D77">
      <w:pPr>
        <w:pStyle w:val="Textoindependiente"/>
        <w:ind w:firstLine="708"/>
        <w:rPr>
          <w:rFonts w:ascii="Calibri" w:hAnsi="Calibri" w:cs="Arial"/>
          <w:color w:val="7F7F7F" w:themeColor="text1" w:themeTint="80"/>
          <w:sz w:val="26"/>
          <w:szCs w:val="27"/>
        </w:rPr>
      </w:pPr>
    </w:p>
    <w:p w:rsidR="00E47D77" w:rsidRDefault="00E47D77" w:rsidP="00E47D77">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Pr>
          <w:rFonts w:ascii="Calibri" w:hAnsi="Calibri" w:cs="Arial"/>
          <w:color w:val="7F7F7F" w:themeColor="text1" w:themeTint="80"/>
          <w:sz w:val="26"/>
          <w:szCs w:val="27"/>
        </w:rPr>
        <w:lastRenderedPageBreak/>
        <w:t xml:space="preserve">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E47D77" w:rsidRDefault="00E47D77" w:rsidP="00E47D77">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E47D77" w:rsidRDefault="00E47D77" w:rsidP="00E47D77">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w:t>
      </w:r>
    </w:p>
    <w:p w:rsidR="00E47D77" w:rsidRDefault="00E47D77" w:rsidP="00E47D77">
      <w:pPr>
        <w:pStyle w:val="Textoindependiente"/>
        <w:ind w:firstLine="708"/>
        <w:rPr>
          <w:rFonts w:ascii="Calibri" w:hAnsi="Calibri" w:cs="Arial"/>
          <w:i/>
          <w:color w:val="7F7F7F" w:themeColor="text1" w:themeTint="80"/>
          <w:sz w:val="26"/>
          <w:szCs w:val="26"/>
        </w:rPr>
      </w:pPr>
    </w:p>
    <w:p w:rsidR="00E47D77" w:rsidRDefault="00E47D77" w:rsidP="00E47D77">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0268/2doJAM/2017-JN</w:t>
      </w:r>
    </w:p>
    <w:p w:rsidR="00E47D77" w:rsidRDefault="00E47D77" w:rsidP="00E47D77">
      <w:pPr>
        <w:pStyle w:val="Textoindependiente"/>
        <w:rPr>
          <w:rFonts w:ascii="Calibri" w:hAnsi="Calibri" w:cs="Arial"/>
          <w:i/>
          <w:color w:val="7F7F7F" w:themeColor="text1" w:themeTint="80"/>
          <w:sz w:val="26"/>
          <w:szCs w:val="26"/>
        </w:rPr>
      </w:pPr>
    </w:p>
    <w:p w:rsidR="00E47D77" w:rsidRDefault="00E47D77" w:rsidP="00E47D77">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 xml:space="preserve">(imposición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p>
    <w:p w:rsidR="00E47D77" w:rsidRDefault="00E47D77" w:rsidP="00E47D77">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w:t>
      </w:r>
      <w:r>
        <w:rPr>
          <w:rFonts w:ascii="Calibri" w:hAnsi="Calibri" w:cs="Arial"/>
          <w:color w:val="7F7F7F" w:themeColor="text1" w:themeTint="80"/>
          <w:sz w:val="26"/>
          <w:szCs w:val="27"/>
        </w:rPr>
        <w:t xml:space="preserve"> </w:t>
      </w:r>
    </w:p>
    <w:p w:rsidR="00E47D77" w:rsidRDefault="00E47D77" w:rsidP="00E47D77">
      <w:pPr>
        <w:pStyle w:val="Textoindependiente"/>
        <w:rPr>
          <w:rFonts w:ascii="Calibri" w:hAnsi="Calibri"/>
          <w:color w:val="767171" w:themeColor="background2" w:themeShade="80"/>
          <w:sz w:val="20"/>
          <w:szCs w:val="20"/>
          <w:lang w:val="es-ES"/>
        </w:rPr>
      </w:pPr>
    </w:p>
    <w:p w:rsidR="00E47D77" w:rsidRDefault="00E47D77" w:rsidP="00E47D77">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E47D77" w:rsidRDefault="00E47D77" w:rsidP="00E47D77">
      <w:pPr>
        <w:pStyle w:val="Textoindependiente"/>
        <w:ind w:firstLine="708"/>
        <w:rPr>
          <w:rFonts w:ascii="Calibri" w:hAnsi="Calibri" w:cs="Calibri"/>
          <w:color w:val="767171" w:themeColor="background2" w:themeShade="80"/>
          <w:sz w:val="20"/>
          <w:szCs w:val="20"/>
        </w:rPr>
      </w:pPr>
    </w:p>
    <w:p w:rsidR="00E47D77" w:rsidRDefault="00E47D77" w:rsidP="00E47D77">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E47D77" w:rsidRDefault="00E47D77" w:rsidP="00E47D77">
      <w:pPr>
        <w:pStyle w:val="Textoindependiente"/>
        <w:rPr>
          <w:rFonts w:ascii="Calibri" w:hAnsi="Calibri" w:cs="Calibri"/>
          <w:color w:val="767171" w:themeColor="background2" w:themeShade="80"/>
          <w:sz w:val="20"/>
          <w:szCs w:val="20"/>
        </w:rPr>
      </w:pPr>
    </w:p>
    <w:p w:rsidR="00E47D77" w:rsidRDefault="00E47D77" w:rsidP="00E47D7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E47D77" w:rsidRDefault="00E47D77" w:rsidP="00E47D77">
      <w:pPr>
        <w:pStyle w:val="Textoindependiente"/>
        <w:ind w:firstLine="708"/>
        <w:rPr>
          <w:rFonts w:ascii="Calibri" w:hAnsi="Calibri" w:cs="Calibri"/>
          <w:color w:val="767171" w:themeColor="background2" w:themeShade="80"/>
          <w:sz w:val="20"/>
          <w:szCs w:val="20"/>
        </w:rPr>
      </w:pPr>
    </w:p>
    <w:p w:rsidR="00E47D77" w:rsidRDefault="00E47D77" w:rsidP="00E47D7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E47D77" w:rsidRDefault="00E47D77" w:rsidP="00E47D77">
      <w:pPr>
        <w:pStyle w:val="Textoindependiente"/>
        <w:ind w:firstLine="708"/>
        <w:rPr>
          <w:rFonts w:ascii="Calibri" w:hAnsi="Calibri" w:cs="Calibri"/>
          <w:bCs/>
          <w:iCs/>
          <w:color w:val="767171" w:themeColor="background2" w:themeShade="80"/>
          <w:sz w:val="20"/>
          <w:szCs w:val="20"/>
        </w:rPr>
      </w:pPr>
    </w:p>
    <w:p w:rsidR="00E47D77" w:rsidRDefault="00E47D77" w:rsidP="00E47D77">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358530</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(tres-cinco-ocho-cinco-tres-cero)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13</w:t>
      </w:r>
      <w:r>
        <w:rPr>
          <w:rFonts w:ascii="Calibri" w:hAnsi="Calibri" w:cs="Calibri"/>
          <w:color w:val="767171" w:themeColor="background2" w:themeShade="80"/>
          <w:sz w:val="26"/>
          <w:szCs w:val="26"/>
        </w:rPr>
        <w:t xml:space="preserve"> trece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lastRenderedPageBreak/>
        <w:t xml:space="preserve">dos mil diecisiete; ello en base a las consideraciones lógicas y jurídicas expresadas en el Considerando Séptimo de esta sentencia. . . . . . . . . . . . . . . . . . . . </w:t>
      </w:r>
      <w:r>
        <w:rPr>
          <w:rFonts w:ascii="Calibri" w:hAnsi="Calibri"/>
          <w:bCs/>
          <w:color w:val="767171" w:themeColor="background2" w:themeShade="80"/>
          <w:sz w:val="26"/>
          <w:szCs w:val="26"/>
        </w:rPr>
        <w:t>. . . . . . . . . .</w:t>
      </w:r>
    </w:p>
    <w:p w:rsidR="00E47D77" w:rsidRDefault="00E47D77" w:rsidP="00E47D77">
      <w:pPr>
        <w:ind w:firstLine="708"/>
        <w:jc w:val="both"/>
        <w:rPr>
          <w:rFonts w:ascii="Calibri" w:hAnsi="Calibri" w:cs="Calibri"/>
          <w:b/>
          <w:bCs/>
          <w:i/>
          <w:iCs/>
          <w:color w:val="767171" w:themeColor="background2" w:themeShade="80"/>
          <w:sz w:val="20"/>
          <w:szCs w:val="20"/>
        </w:rPr>
      </w:pPr>
    </w:p>
    <w:p w:rsidR="00E47D77" w:rsidRDefault="00E47D77" w:rsidP="00E47D77">
      <w:pPr>
        <w:ind w:firstLine="708"/>
        <w:jc w:val="both"/>
        <w:rPr>
          <w:rFonts w:ascii="Calibri" w:hAnsi="Calibri"/>
          <w:color w:val="7F7F7F" w:themeColor="text1" w:themeTint="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w:t>
      </w:r>
    </w:p>
    <w:p w:rsidR="00E47D77" w:rsidRDefault="00E47D77" w:rsidP="00E47D77">
      <w:pPr>
        <w:jc w:val="both"/>
        <w:rPr>
          <w:rFonts w:ascii="Calibri" w:hAnsi="Calibri" w:cs="Calibri"/>
          <w:color w:val="7F7F7F" w:themeColor="text1" w:themeTint="80"/>
          <w:sz w:val="20"/>
          <w:szCs w:val="20"/>
        </w:rPr>
      </w:pPr>
    </w:p>
    <w:p w:rsidR="00E47D77" w:rsidRDefault="00E47D77" w:rsidP="00E47D77">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w:t>
      </w:r>
      <w:r>
        <w:rPr>
          <w:rFonts w:ascii="Calibri" w:hAnsi="Calibri" w:cs="Calibri"/>
          <w:bCs/>
          <w:iCs/>
          <w:color w:val="7F7F7F" w:themeColor="text1" w:themeTint="80"/>
          <w:sz w:val="26"/>
          <w:szCs w:val="26"/>
        </w:rPr>
        <w:t xml:space="preserve"> .</w:t>
      </w: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E47D77" w:rsidRDefault="00E47D77" w:rsidP="00E47D77">
      <w:pPr>
        <w:pStyle w:val="Textoindependiente"/>
        <w:rPr>
          <w:rFonts w:ascii="Calibri" w:hAnsi="Calibri" w:cs="Calibri"/>
          <w:color w:val="767171" w:themeColor="background2" w:themeShade="80"/>
          <w:sz w:val="20"/>
          <w:szCs w:val="20"/>
        </w:rPr>
      </w:pPr>
    </w:p>
    <w:p w:rsidR="00E47D77" w:rsidRDefault="00E47D77" w:rsidP="00E47D77">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E47D77" w:rsidRDefault="00E47D77" w:rsidP="00E47D77">
      <w:pPr>
        <w:pStyle w:val="Textoindependiente"/>
        <w:ind w:firstLine="708"/>
        <w:rPr>
          <w:rFonts w:ascii="Calibri" w:hAnsi="Calibri" w:cs="Calibri"/>
          <w:color w:val="767171" w:themeColor="background2" w:themeShade="80"/>
          <w:sz w:val="26"/>
          <w:szCs w:val="26"/>
        </w:rPr>
      </w:pPr>
      <w:bookmarkStart w:id="0" w:name="_GoBack"/>
      <w:bookmarkEnd w:id="0"/>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pStyle w:val="Textoindependiente"/>
        <w:ind w:firstLine="708"/>
        <w:rPr>
          <w:rFonts w:ascii="Calibri" w:hAnsi="Calibri" w:cs="Calibri"/>
          <w:color w:val="767171" w:themeColor="background2" w:themeShade="80"/>
          <w:sz w:val="26"/>
          <w:szCs w:val="26"/>
        </w:rPr>
      </w:pPr>
    </w:p>
    <w:p w:rsidR="00E47D77" w:rsidRDefault="00E47D77" w:rsidP="00E47D77">
      <w:pPr>
        <w:jc w:val="both"/>
      </w:pPr>
      <w:r>
        <w:rPr>
          <w:rFonts w:ascii="Calibri" w:hAnsi="Calibri" w:cs="Calibri"/>
          <w:b/>
          <w:color w:val="7F7F7F" w:themeColor="text1" w:themeTint="80"/>
        </w:rPr>
        <w:t>LA PRESENTE FOJA FORMA PARTE DE LA SENTENCIA DICTADA EL DÍA 17 DIECISIETE DE JULIO DEL AÑO 2017 DOS MIL DIECISIETE, EN EL PROCESO ADMINISTRATIVO CON NÚMERO DE EXPEDIENTE 0268/2do JAM/2017-JN.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77"/>
    <w:rsid w:val="004F58FC"/>
    <w:rsid w:val="00E47D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8D7EF-E778-4A3B-88B2-B70A5E15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7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47D77"/>
    <w:pPr>
      <w:jc w:val="both"/>
    </w:pPr>
    <w:rPr>
      <w:lang w:val="es-MX"/>
    </w:rPr>
  </w:style>
  <w:style w:type="character" w:customStyle="1" w:styleId="TextoindependienteCar">
    <w:name w:val="Texto independiente Car"/>
    <w:basedOn w:val="Fuentedeprrafopredeter"/>
    <w:link w:val="Textoindependiente"/>
    <w:rsid w:val="00E47D7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47D7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47D7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3712</Words>
  <Characters>20419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2017-08-31T18:19:00Z</dcterms:created>
  <dcterms:modified xsi:type="dcterms:W3CDTF">2017-08-31T18:20:00Z</dcterms:modified>
</cp:coreProperties>
</file>